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3BD" w:rsidRDefault="004503BD" w:rsidP="004503BD">
      <w:pPr>
        <w:autoSpaceDE w:val="0"/>
        <w:autoSpaceDN w:val="0"/>
        <w:adjustRightInd w:val="0"/>
        <w:spacing w:after="0" w:line="240" w:lineRule="auto"/>
        <w:ind w:right="27" w:firstLine="1162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Утверждена</w:t>
      </w: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left="27" w:right="27" w:firstLine="11597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Постановлением администрации</w:t>
      </w: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left="27" w:right="27" w:firstLine="11597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городского округа Люберцы</w:t>
      </w: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left="27" w:right="27" w:firstLine="11597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Московской области</w:t>
      </w: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left="27" w:right="27" w:firstLine="11597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 14.03.2019 № 954-ПА</w:t>
      </w: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Times New Roman" w:hAnsi="Times New Roman"/>
          <w:color w:val="000000"/>
          <w:sz w:val="20"/>
          <w:szCs w:val="20"/>
        </w:rPr>
      </w:pPr>
    </w:p>
    <w:p w:rsidR="004503BD" w:rsidRDefault="004503BD" w:rsidP="004503B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4503BD" w:rsidRDefault="004503BD" w:rsidP="004503B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hAnsi="Times New Roman"/>
          <w:sz w:val="20"/>
          <w:szCs w:val="20"/>
        </w:rPr>
      </w:pPr>
    </w:p>
    <w:p w:rsidR="004503BD" w:rsidRDefault="004503BD" w:rsidP="004503BD">
      <w:pPr>
        <w:ind w:left="567" w:right="56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Паспорт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p w:rsidR="004503BD" w:rsidRDefault="004503BD" w:rsidP="004503B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142"/>
        <w:jc w:val="center"/>
        <w:outlineLvl w:val="1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13"/>
        <w:gridCol w:w="1690"/>
        <w:gridCol w:w="1548"/>
        <w:gridCol w:w="1551"/>
        <w:gridCol w:w="1689"/>
        <w:gridCol w:w="1689"/>
        <w:gridCol w:w="1623"/>
      </w:tblGrid>
      <w:tr w:rsidR="004503BD" w:rsidTr="004503BD">
        <w:trPr>
          <w:trHeight w:val="509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 Повышение энергетической эффективности в бюджетной сфере.</w:t>
            </w:r>
          </w:p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 Повышение энергетической эффективности в жилищном фонде.</w:t>
            </w:r>
          </w:p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 Повышение энергетической эффективности в системах коммунальной инфраструктуры.</w:t>
            </w:r>
          </w:p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 Повышение энергетической эффективности систем наружного освещения.</w:t>
            </w:r>
          </w:p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 Повышение энергетической эффективности на территории городского округа.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А. И.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Коханый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-  Заместитель Главы администрации городского округа Люберцы Московской области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2018 - 2022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20"/>
        </w:trPr>
        <w:tc>
          <w:tcPr>
            <w:tcW w:w="17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Расходы (тыс. рублей)</w:t>
            </w:r>
          </w:p>
        </w:tc>
      </w:tr>
      <w:tr w:rsidR="004503BD" w:rsidTr="004503BD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503BD" w:rsidRDefault="004503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  <w:p w:rsidR="004503BD" w:rsidRDefault="004503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2022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Средства федерального бюджета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0,00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035,17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4503BD" w:rsidTr="004503BD">
        <w:trPr>
          <w:trHeight w:val="293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549 206,27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103 179,94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103 867,65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100 869,11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100 869,11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473 544,72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88 337,00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1 041 786,16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275 123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196 099,66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192 151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189 206,11</w:t>
            </w:r>
          </w:p>
        </w:tc>
      </w:tr>
      <w:tr w:rsidR="004503BD" w:rsidTr="004503BD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– до 100 %.</w:t>
            </w:r>
            <w:proofErr w:type="gramEnd"/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ответственных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за энергосбережение повышение энергетической эффективности, прошедших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концу 2022 года – 100 %</w:t>
            </w:r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многоквартирных домов, соответствующих нормальному классу энергетической эффективности и выше (А, B, C и D) к концу 2022 года – 175 ед.</w:t>
            </w:r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Доля потерь воды при ее передаче в общем объеме переданной воды к концу 2022 года –   2,39 %</w:t>
            </w:r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гигокалорию</w:t>
            </w:r>
            <w:proofErr w:type="spellEnd"/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  <w:proofErr w:type="gramEnd"/>
          </w:p>
          <w:p w:rsidR="004503BD" w:rsidRDefault="004503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Бережливый учет - Оснащенность многоквартирных домов приборами учета ресурсов – до 100 % к 2022 году</w:t>
            </w:r>
          </w:p>
          <w:p w:rsidR="004503BD" w:rsidRDefault="004503BD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</w:tc>
      </w:tr>
    </w:tbl>
    <w:p w:rsidR="004503BD" w:rsidRDefault="004503BD" w:rsidP="004503B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503BD" w:rsidRDefault="004503BD" w:rsidP="004503B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503BD" w:rsidRDefault="004503BD" w:rsidP="004503BD">
      <w:pPr>
        <w:spacing w:after="0" w:line="256" w:lineRule="auto"/>
        <w:rPr>
          <w:rFonts w:ascii="Times New Roman" w:hAnsi="Times New Roman"/>
          <w:sz w:val="28"/>
          <w:szCs w:val="28"/>
          <w:lang w:eastAsia="ar-SA"/>
        </w:rPr>
        <w:sectPr w:rsidR="004503BD">
          <w:pgSz w:w="16838" w:h="11906" w:orient="landscape"/>
          <w:pgMar w:top="1418" w:right="1134" w:bottom="851" w:left="851" w:header="709" w:footer="709" w:gutter="0"/>
          <w:cols w:space="720"/>
        </w:sectPr>
      </w:pPr>
    </w:p>
    <w:p w:rsidR="004503BD" w:rsidRDefault="004503BD" w:rsidP="004503B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Характеристика текущего состояния сферы реализации муниципальной программы</w:t>
      </w:r>
    </w:p>
    <w:p w:rsidR="004503BD" w:rsidRDefault="004503BD" w:rsidP="004503BD">
      <w:pPr>
        <w:autoSpaceDE w:val="0"/>
        <w:autoSpaceDN w:val="0"/>
        <w:adjustRightInd w:val="0"/>
        <w:ind w:left="1262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4503BD" w:rsidRDefault="004503BD" w:rsidP="004503BD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Общая характеристика в сфере энергосбережения жилищно-коммунального хозяйства</w:t>
      </w:r>
    </w:p>
    <w:p w:rsidR="004503BD" w:rsidRDefault="004503BD" w:rsidP="004503BD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>
        <w:rPr>
          <w:rFonts w:ascii="Times New Roman" w:eastAsia="Times New Roman" w:hAnsi="Times New Roman"/>
          <w:sz w:val="28"/>
          <w:szCs w:val="28"/>
        </w:rPr>
        <w:t>: АО «Люберецкая теплосеть», АО 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Люберецкий Водоканал»,                   АО «Люберецкий городской жилищный трест».</w:t>
      </w:r>
    </w:p>
    <w:p w:rsidR="004503BD" w:rsidRDefault="004503BD" w:rsidP="004503B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sz w:val="28"/>
          <w:szCs w:val="28"/>
        </w:rPr>
        <w:t xml:space="preserve">По состоянию на 01.01.2019 г. на территории городского округа Люберцы Московской области находятся 2081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По состоянию на 01.12.2019 почти 100% жилых домов на территории округа оснащены общедомовыми приборами учета энергоресурсов; практически в половине домов, обслуживаемых АО «ЛГЖТ», произведена замена окон в подъездах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пластиковые (энергосберегающие).</w:t>
      </w: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4503BD" w:rsidRDefault="004503BD" w:rsidP="004503BD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  <w:szCs w:val="28"/>
          <w:lang w:eastAsia="en-US"/>
        </w:rPr>
        <w:t>Общая характеристика энергосбережения в учреждениях бюджетной сферы и основные проблемы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4503BD" w:rsidRDefault="004503BD" w:rsidP="00450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По состоянию 01.12.2019 года в ведении муниципального образования городской округ Люберцы Московской области находятся 145 муниципальных учреждения, в том числе:</w:t>
      </w:r>
      <w:proofErr w:type="gramEnd"/>
    </w:p>
    <w:p w:rsidR="004503BD" w:rsidRDefault="004503BD" w:rsidP="00450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113 учреждений образования;</w:t>
      </w:r>
    </w:p>
    <w:p w:rsidR="004503BD" w:rsidRDefault="004503BD" w:rsidP="00450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17 учреждений культуры;</w:t>
      </w:r>
    </w:p>
    <w:p w:rsidR="004503BD" w:rsidRDefault="004503BD" w:rsidP="00450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9 учреждений физической культуры и спорта; </w:t>
      </w:r>
    </w:p>
    <w:p w:rsidR="004503BD" w:rsidRDefault="004503BD" w:rsidP="00450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 учреждение по работе с молодежью;</w:t>
      </w:r>
    </w:p>
    <w:p w:rsidR="004503BD" w:rsidRDefault="004503BD" w:rsidP="00450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 учреждений администрации.</w:t>
      </w:r>
    </w:p>
    <w:p w:rsidR="004503BD" w:rsidRDefault="004503BD" w:rsidP="004503B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 конец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2018 года все муниципальные учреждения городского округа Люберцы оснащены приборами учета энергетических ресурсов.</w:t>
      </w:r>
    </w:p>
    <w:p w:rsidR="004503BD" w:rsidRDefault="004503BD" w:rsidP="004503B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настоящее время в бюджетной сфере округа существует ряд проблем: </w:t>
      </w:r>
    </w:p>
    <w:p w:rsidR="004503BD" w:rsidRDefault="004503BD" w:rsidP="004503BD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низкая энергетическая эффективность объектов коммунальной инфраструктуры, бюджетных учреждений. Причинами возникновения данной </w:t>
      </w:r>
      <w:r>
        <w:rPr>
          <w:rFonts w:ascii="Times New Roman" w:eastAsia="Times New Roman" w:hAnsi="Times New Roman"/>
          <w:sz w:val="28"/>
          <w:szCs w:val="28"/>
        </w:rPr>
        <w:lastRenderedPageBreak/>
        <w:t>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4503BD" w:rsidRDefault="004503BD" w:rsidP="004503BD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низкая доля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энергоэффективного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4503BD" w:rsidRDefault="004503BD" w:rsidP="004503BD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отсутствие пропаганды энергосбережения и условий, его стимулирующих. </w:t>
      </w:r>
    </w:p>
    <w:p w:rsidR="004503BD" w:rsidRDefault="004503BD" w:rsidP="004503B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4503BD" w:rsidRDefault="004503BD" w:rsidP="004503B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  выявления потенциала энергосбережения;</w:t>
      </w:r>
    </w:p>
    <w:p w:rsidR="004503BD" w:rsidRDefault="004503BD" w:rsidP="004503B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  определения основных энергосберегающих мероприятий;</w:t>
      </w:r>
    </w:p>
    <w:p w:rsidR="004503BD" w:rsidRDefault="004503BD" w:rsidP="004503B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определения объектов бюджетной сферы, где необходимо первоочередное проведение энергосберегающих мероприятий;</w:t>
      </w:r>
    </w:p>
    <w:p w:rsidR="004503BD" w:rsidRDefault="004503BD" w:rsidP="004503B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установления нормативных показателей энергопотребления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лимитирование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энергопотребления).</w:t>
      </w:r>
    </w:p>
    <w:p w:rsidR="004503BD" w:rsidRDefault="004503BD" w:rsidP="004503B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основе результатов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энергоаудита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составляются энергетические паспорта объектов бюджетной сферы.</w:t>
      </w:r>
    </w:p>
    <w:p w:rsidR="004503BD" w:rsidRDefault="004503BD" w:rsidP="004503BD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en-US"/>
        </w:rPr>
        <w:t>дорожно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- коммунального транспорта на использование газомоторного топлива.</w:t>
      </w:r>
    </w:p>
    <w:p w:rsidR="004503BD" w:rsidRDefault="004503BD" w:rsidP="004503BD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Преимущества данного вида топлива перед бензином и дизельным топливом:</w:t>
      </w:r>
    </w:p>
    <w:p w:rsidR="004503BD" w:rsidRDefault="004503BD" w:rsidP="004503BD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- низкая стоимость,</w:t>
      </w:r>
    </w:p>
    <w:p w:rsidR="004503BD" w:rsidRDefault="004503BD" w:rsidP="004503BD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- увеличение ресурса работы двигателя за счет более медленного изнашивания,</w:t>
      </w:r>
    </w:p>
    <w:p w:rsidR="004503BD" w:rsidRDefault="004503BD" w:rsidP="004503BD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- высокая степень экологической безопасности.</w:t>
      </w:r>
    </w:p>
    <w:p w:rsidR="004503BD" w:rsidRDefault="004503BD" w:rsidP="004503BD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Однако конструктивные особенности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en-US"/>
        </w:rPr>
        <w:t>газотопливной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4503BD" w:rsidRDefault="004503BD" w:rsidP="004503BD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4503BD" w:rsidRDefault="004503BD" w:rsidP="004503BD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Учитывая вышесказанное, переход на использование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en-US"/>
        </w:rPr>
        <w:t>газотопливной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техники в городском округе Люберцы планируется в  2019 году.</w:t>
      </w:r>
    </w:p>
    <w:p w:rsidR="004503BD" w:rsidRDefault="004503BD" w:rsidP="00450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Реализация Программы позволит:</w:t>
      </w:r>
    </w:p>
    <w:p w:rsidR="004503BD" w:rsidRDefault="004503BD" w:rsidP="00450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полностью оснастить муниципальные учреждения социальной сферы приборами учета энергоресурсов;</w:t>
      </w:r>
    </w:p>
    <w:p w:rsidR="004503BD" w:rsidRDefault="004503BD" w:rsidP="004503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обеспечить проведение энергетической паспортизации всех учреждений социальной сферы;</w:t>
      </w:r>
    </w:p>
    <w:p w:rsidR="004503BD" w:rsidRDefault="004503BD" w:rsidP="004503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перевести частично транспортные средства на газовое топливо.</w:t>
      </w:r>
    </w:p>
    <w:p w:rsidR="004503BD" w:rsidRDefault="004503BD" w:rsidP="004503BD">
      <w:pPr>
        <w:pStyle w:val="af2"/>
        <w:numPr>
          <w:ilvl w:val="0"/>
          <w:numId w:val="6"/>
        </w:num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Цели и задачи муниципальной программы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4503BD" w:rsidRDefault="004503BD" w:rsidP="004503B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Муниципальной программы -  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Достижение поставленной цели позволит достичь: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1. Повышение энергетической эффективности в бюджетной сфере.2. Повышение энергетической эффективности в жилищном фонде.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3. Повышение энергетической эффективности в системах коммунальной инфраструктуры.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4. Повышение энергетической эффективности систем наружного освещения.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5. Повышение энергетической эффективности на территории городского округа.</w:t>
      </w:r>
    </w:p>
    <w:p w:rsidR="004503BD" w:rsidRDefault="004503BD" w:rsidP="004503B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  <w:szCs w:val="28"/>
          <w:lang w:eastAsia="en-US"/>
        </w:rPr>
        <w:t>Прогноз развития системы энергосбережения и повышения энергетической эффективности в бюджетной сфере городского округа Люберцы с учетом реализации муниципальной программы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  <w:szCs w:val="28"/>
          <w:lang w:eastAsia="en-US"/>
        </w:rPr>
        <w:tab/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  <w:t>-  установку приборов учета потребления энергоресурсов;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  <w:t>-  проведение энергетического обследования;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  <w:t xml:space="preserve">-  замену ламп накаливания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en-US"/>
        </w:rPr>
        <w:t>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энергосберегающие;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>
        <w:rPr>
          <w:rFonts w:ascii="Times New Roman" w:eastAsia="Times New Roman" w:hAnsi="Times New Roman"/>
          <w:sz w:val="28"/>
          <w:szCs w:val="28"/>
          <w:lang w:eastAsia="en-US"/>
        </w:rPr>
        <w:tab/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Перечень программных мероприятий приведен в приложении № 1 к настоящей Программе.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4503BD" w:rsidRDefault="004503BD" w:rsidP="004503BD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Перечень подпрограмм муниципальной программы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Подпрограммы отсутствуют.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4503BD" w:rsidRDefault="004503BD" w:rsidP="004503BD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Обобщенная характеристика основных мероприятий программы с обоснованием их осуществления.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:rsidR="004503BD" w:rsidRDefault="004503BD" w:rsidP="004503BD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Выполнение основных  мероприятий позволит увеличить: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Нормативное освещение улиц, проездов, набережных в городских и сельских поселениях к 2019 году – до 100 %.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Долю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ответственных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Сократить  уровень  износа электросетевого хозяйства систем наружного освещения с применением СИП и высокоэффективных светильников к 2022 году до 39,01 %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100 %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Долю многоквартирных домов, оснащенных приборами учета потребляемых энергетических ресурсов к концу 2022 года – 100 %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Количество многоквартирных домов, соответствующих нормальному классу энергетической эффективности и выше (А, B, C и D) к концу 2022 года – 175 ед.</w:t>
      </w:r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</w:r>
      <w:proofErr w:type="gramEnd"/>
    </w:p>
    <w:p w:rsidR="004503BD" w:rsidRDefault="004503BD" w:rsidP="004503B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 также, добиться  снижения  потери энергии при производстве тепловой </w:t>
      </w:r>
      <w:r>
        <w:rPr>
          <w:rFonts w:ascii="Times New Roman" w:eastAsia="Times New Roman" w:hAnsi="Times New Roman"/>
          <w:sz w:val="28"/>
          <w:szCs w:val="28"/>
        </w:rPr>
        <w:lastRenderedPageBreak/>
        <w:t>энергии и организации водоснабжения.</w:t>
      </w:r>
    </w:p>
    <w:p w:rsidR="004503BD" w:rsidRDefault="004503BD" w:rsidP="004503BD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6. Порядок взаимодействия ответственных за выполнение мероприятий программы с заказчиком муниципальной программы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en-US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реализацией программы осуществляет администрация городского округа. Реализация основных мероприятий осуществляется                       в соответствии  с утвержденными дорожными картами.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en-US"/>
        </w:rPr>
        <w:t>С целью контроля реализации Подпрограммы исполнители мероприятий Подпрограммы и заказчик предоставляют оперативные  и итоговые отчеты              о реализации соответствующих мероприятий Подпрограммы в соответствии              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округа Люберцы, их формирования и реализации».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Для формирования отчётов и аналитических материалов о реализации программы исполнители мероприятий и заказчик программы руководствуются методикой расчета показателей эффективности реализации  программы, приведенной в Приложении № 3 к настоящей программе.</w:t>
      </w: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4503BD" w:rsidRDefault="004503BD" w:rsidP="004503BD">
      <w:pPr>
        <w:pStyle w:val="af2"/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Состав, форма и сроки предоставления отчетности</w:t>
      </w:r>
    </w:p>
    <w:p w:rsidR="004503BD" w:rsidRDefault="004503BD" w:rsidP="004503BD">
      <w:pPr>
        <w:pStyle w:val="af2"/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</w:rPr>
      </w:pPr>
    </w:p>
    <w:p w:rsidR="004503BD" w:rsidRDefault="004503BD" w:rsidP="004503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Заполнение отчетных формы </w:t>
      </w:r>
      <w:proofErr w:type="gramStart"/>
      <w:r>
        <w:rPr>
          <w:rFonts w:ascii="Times New Roman" w:hAnsi="Times New Roman"/>
          <w:sz w:val="28"/>
          <w:szCs w:val="28"/>
        </w:rPr>
        <w:t>в ГАС</w:t>
      </w:r>
      <w:proofErr w:type="gramEnd"/>
      <w:r>
        <w:rPr>
          <w:rFonts w:ascii="Times New Roman" w:hAnsi="Times New Roman"/>
          <w:sz w:val="28"/>
          <w:szCs w:val="28"/>
        </w:rPr>
        <w:t xml:space="preserve"> «Управление», по запросу Министерств.</w:t>
      </w:r>
    </w:p>
    <w:p w:rsidR="004503BD" w:rsidRDefault="004503BD" w:rsidP="004503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3BD" w:rsidRDefault="004503BD" w:rsidP="004503BD">
      <w:pPr>
        <w:ind w:left="21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Финансирование муниципальной программы</w:t>
      </w:r>
    </w:p>
    <w:p w:rsidR="004503BD" w:rsidRDefault="004503BD" w:rsidP="004503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3BD" w:rsidRDefault="004503BD" w:rsidP="004503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4503BD" w:rsidRDefault="004503BD" w:rsidP="004503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>
        <w:rPr>
          <w:rFonts w:ascii="Times New Roman" w:hAnsi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/>
          <w:sz w:val="28"/>
          <w:szCs w:val="28"/>
        </w:rPr>
        <w:t>юджете городского округа Люберцы.</w:t>
      </w:r>
    </w:p>
    <w:p w:rsidR="004503BD" w:rsidRDefault="004503BD" w:rsidP="004503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3BD" w:rsidRDefault="004503BD" w:rsidP="004503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3BD" w:rsidRDefault="004503BD" w:rsidP="004503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3BD" w:rsidRDefault="004503BD" w:rsidP="004503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4503BD" w:rsidRDefault="004503BD" w:rsidP="004503BD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503BD">
          <w:pgSz w:w="11906" w:h="16838"/>
          <w:pgMar w:top="1134" w:right="851" w:bottom="851" w:left="1418" w:header="0" w:footer="567" w:gutter="0"/>
          <w:cols w:space="720"/>
        </w:sectPr>
      </w:pPr>
    </w:p>
    <w:p w:rsidR="004503BD" w:rsidRDefault="004503BD" w:rsidP="004503BD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Приложение № 1</w:t>
      </w: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Постановлению администрации</w:t>
      </w:r>
    </w:p>
    <w:p w:rsidR="004503BD" w:rsidRDefault="004503BD" w:rsidP="004503BD">
      <w:pPr>
        <w:autoSpaceDE w:val="0"/>
        <w:autoSpaceDN w:val="0"/>
        <w:adjustRightInd w:val="0"/>
        <w:spacing w:after="0" w:line="240" w:lineRule="auto"/>
        <w:ind w:left="28" w:right="28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городского округа Люберцы</w:t>
      </w:r>
    </w:p>
    <w:p w:rsidR="004503BD" w:rsidRDefault="004503BD" w:rsidP="004503BD">
      <w:pPr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Московской области</w:t>
      </w:r>
      <w:r>
        <w:rPr>
          <w:rFonts w:ascii="Times New Roman" w:hAnsi="Times New Roman"/>
          <w:color w:val="000000"/>
          <w:sz w:val="20"/>
          <w:szCs w:val="20"/>
        </w:rPr>
        <w:br/>
        <w:t>от 14.03.2019 № 954-ПА</w:t>
      </w:r>
    </w:p>
    <w:p w:rsidR="004503BD" w:rsidRDefault="004503BD" w:rsidP="004503BD">
      <w:pPr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382" w:type="pct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12"/>
        <w:gridCol w:w="1643"/>
        <w:gridCol w:w="1324"/>
        <w:gridCol w:w="1846"/>
        <w:gridCol w:w="898"/>
        <w:gridCol w:w="821"/>
        <w:gridCol w:w="856"/>
        <w:gridCol w:w="936"/>
        <w:gridCol w:w="821"/>
        <w:gridCol w:w="824"/>
        <w:gridCol w:w="1582"/>
        <w:gridCol w:w="1286"/>
      </w:tblGrid>
      <w:tr w:rsidR="004503BD" w:rsidTr="004503BD">
        <w:trPr>
          <w:trHeight w:val="37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Мероприятия по реализации программы/подпрограммы</w:t>
            </w:r>
          </w:p>
        </w:tc>
        <w:tc>
          <w:tcPr>
            <w:tcW w:w="5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Источники финансирования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Срок исполнения мероприятия</w:t>
            </w:r>
          </w:p>
        </w:tc>
        <w:tc>
          <w:tcPr>
            <w:tcW w:w="5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Объём финансирования мероприятия в году предшествующему году начала реализации муниципальной программы (тыс. руб.) </w:t>
            </w:r>
          </w:p>
        </w:tc>
        <w:tc>
          <w:tcPr>
            <w:tcW w:w="2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Всего,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33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Результаты выполнения мероприятия программы/</w:t>
            </w:r>
          </w:p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подпрограммы</w:t>
            </w:r>
          </w:p>
        </w:tc>
      </w:tr>
      <w:tr w:rsidR="004503BD" w:rsidTr="004503BD">
        <w:trPr>
          <w:trHeight w:val="79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14</w:t>
            </w: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  Основное мероприятие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5 265.00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5 265.00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1.1 Установка автоматизированного узла управления системой отопления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, С, D) к концу 2022 года - до 51,20 %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5 265.00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3 000.00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5 265.00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3 000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3 000.00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  Основное мероприятие "Предоставление информации в государственные и региональные информационные системы в области энергосбережения в бюджетной сфере"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2.1 Предоставление информации муниципальными учреждениями в информационные системы в области энергосбережения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Заполнение информации в ГИС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" - 100% муниципальных учреждений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3 Основное мероприятие "Проведение мероприятий, направленных на повышение класса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зданий (в бюджетной сфере)"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3.1 Координация мероприятий по повышению энергетической эффективности объектов бюджетной сферы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, С, D) к концу 2022 года - до 51,20 %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4 Основное мероприятие "Модернизация систем освещения в муниципальных учреждениях"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2 000.00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2 500.00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2 500.00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2 000.00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4.1 Установка светодиодных светильников (в том числе демонтаж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неэнергосберегающих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светильников)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Доля з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, С, D) к концу 2022 года - до 51,20 %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2 000.00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2 500.00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2 500.00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2 000.00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5 Основное мероприятие "Установка автоматизированных систем диспетчеризации,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150.00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150.00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5.1 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, С, D) к концу 2022 года - до 51,20 %</w:t>
            </w:r>
          </w:p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Увеличение доли приборов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учета энергетических ресурсов в общем объеме приборов учета энергетических ресурсов, охваченных автоматизированных системами контроля учета энергетических ресурсов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150.00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150.00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6  Основное мероприятие "Обеспечение учета используемых энергетических ресурсов в жилищном фонде"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36 674.00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4 750.00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2 750.00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8 500.00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45 174.00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4 750.00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2 750.00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20 274.00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2 600.00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2 600.00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20 274.00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2 600.00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2 600.00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6.2  Оснащение индивидуальными приборами учета воды в многоквартирных жилых домах 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Уменьшение удельного суммарного расхода энергетических ресурсов в многоквартирных домах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расчета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на 1 кв. метр общей площади)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16 400.00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16 400.00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7  Основное мероприятие "Применение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63 792.00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51 352.00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12 528.00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10 392.00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9 842.00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9 295.00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9 295.00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63 792.00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51 352.00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12 528.00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10 392.00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9 842.00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9 295.00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9 295.00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7.1 Установка доводчиков входных дверей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расчета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на 1 кв. метр общей площади)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341.00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356.00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69.00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75.00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341.00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356.00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69.00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75.00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7.2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7.2 Замена оконных блоков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расчета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на 1 кв. метр общей площади)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3 030.00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3 110.00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590.00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620.00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3 030.00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3 110.00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590.00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620.00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7.3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7.3 Тепловая изоляция трубопроводов в ЦО, ГВС в подвалах, на чердаках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расчета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на 1 кв. метр общей площади)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8 230.00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8 540.00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1 550.00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1 700.00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1 750.00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1 770.00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1 770.00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8 230.00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8 540.00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1 550.00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1 700.00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1 750.00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1 770.00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1 770.00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7.4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7.4  Усиление теплозащиты стен и перекрытий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расчета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на 1 кв. метр общей площади)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12 391.00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2 246.00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1 423.00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223.00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12 391.00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2 246.00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1 423.00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223.00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7.5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7.5 Замена стального трубопровода ХВС, ГВС, ЦО на полипропиленовый трубопровод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расчета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на 1 кв. метр общей площади)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39 800.00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37 100.00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8 900.00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7 800.00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6 600.00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6 600.00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39 800.00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37 100.00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8 900.00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7 800.00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6 600.00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6 600.00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8 Основное мероприятие "Модернизация систем освещения в местах общего пользования многоквартирных домов"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20 647.22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19 353.92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4 411.80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4 173.12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3 825.00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3 472.00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3 472.00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20 647.22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19 353.92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4 411.80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4 173.12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3 825.00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3 472.00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3 472.00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8.1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8.1 Внедрение энергосберегающих светильников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энергоэкономических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 на лестничных клетках жилых домов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расчета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на 1 кв. метр общей площади)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16 066.00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14 865.00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3 475.00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3 258.00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2 932.00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2 600.00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2 600.00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16 066.00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14 865.00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3 475.00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3 258.00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2 932.00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2 600.00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2 600.00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8.2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8.2 Внедрение энергосберегающих светильников (светодиодных) на лестничных клетках жилых домов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расчета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на 1 кв. метр общей площади)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1 441.22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1 298.92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316.80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285.12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253.00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222.00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1 441.22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1 298.92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316.80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285.12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253.00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222.00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8.3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8.3 Внедрение энергосберегающих светильников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энергоэкономических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и светодиодных) в подъездах и лестничных клетках жилых домов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расчета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на 1 кв. метр общей площади)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3 140.00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3 190.00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620.00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630.00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640.00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3 140.00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3 190.00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620.00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630.00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640.00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9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9 Основное мероприятие "Проведение мероприятий, направленных на повышение класса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в МКД"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9.1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9.1  Проведение организационных мероприятий с лицами ответственными за содержание МКД, по предоставлению деклараций в ГЖИ МО с целью установления класса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МКД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Увеличение количества многоквартирных домов,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и выше (А, B.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C и D)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10 Основное мероприятие "Обеспечение учета используемых энергетических ресурсов на объектах коммунальной инфраструктуры"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6 000.00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6 000.00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10.1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10.1 Установка приборов учета  энергетических ресурсов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6 000.00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6 000.00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1 200.00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11 Основное мероприятие "Применение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технологий в системах водоснабжения и водоотведения"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12 790.00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9 710.00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4 670.00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4 750.00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12 790.00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9 710.00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4 670.00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4 750.00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11.1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11.1 Замена трубопроводов с применением труб многослойных ПНД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доли потерь воды при ее передаче в общем объеме переданной воды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11 600.00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8 600.00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4 400.00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4 200.00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11 600.00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8 600.00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4 400.00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4 200.00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11.2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11.3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11.3 Замена преобразователя частоты насосов второго подъема ВНС 2-5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Снижение удельного расхода электрической энергии, используемой для передачи (транспортировки) воды в системах водоснабжения (на 1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куб. метр).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350.00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350.00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350.00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350.00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11.4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11.4  Установка устрой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ств пл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авного пуска электродвигателя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640.00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270.00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640.00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270.00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12 Основное мероприятие "Применение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энергоэффектив-ных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технологий в системах отопления"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24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доли потерь тепловой энергии при ее передаче в общем объеме переданной тепловой энергии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391 870.00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385 420.00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92 420.00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72 000.00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73 000.00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74 000.00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74 000.00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391 870.00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385 420.00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92 420.00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72 000.00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73 000.00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74 000.00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74 000.00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12.1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12.1 Установка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оборудования с высоким коэффициентом полезного действия при модернизации котельных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30 884.00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21 660.00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21 660.00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30 884.00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21 660.00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21 660.00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12.2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12.2 Замена и модернизация ветхих тепловых сетей с применением труб ППУ изоляции и  пластмассовых труб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топлива на выработку тепловой энергии на котельных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br/>
              <w:t xml:space="preserve">Снижение доли потерь тепловой энергии при ее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передаче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в общем объем переданной тепловой энергии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360 986.00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363 760.00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70 760.00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72 000.00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73 000.00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74 000.00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74 000.00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360 986.00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363 760.00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70 760.00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72 000.00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73 000.00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74 000.00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74 000.00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13 Основное мероприятие "Применение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технологий в системах освещения на объектах коммунальной инфраструктуры"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430.00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430.00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13.1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13.1 Замена светильников с люминесцентными лампами в офисных помещениях 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светодиодные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280.00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280.00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13.2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13.2 Замена уличных прожекторов на объектах 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светодиодные</w:t>
            </w:r>
            <w:proofErr w:type="gramEnd"/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150.00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150.00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14  Основное мероприятие "Повышение энергетической эффективности при использовании моторного топлива"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22.50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22.50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22.50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22.50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14.1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14.1  Замещение природным газом бензина, используемого транспортными средствами в качестве моторного топлива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топлива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22.50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22.50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22.50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22.50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15 Основное мероприятие "Уличное освещение городского округа Люберцы"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Сокращение уровня износа электросетевого хозяйства систем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наружного освещения с применением СИП и высокоэффективных светильников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32 726.00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491 176.81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89 111.00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100 499.94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101 187.65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100 189.11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100 189.11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32 726.00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491 176.81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89 111.00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100 499.94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101 187.65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100 189.11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100 189.11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15.1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15.1 Обеспечение энергоснабжения линий уличного освещения городского округа Люберцы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316 425.21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51 822.00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66 134.29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66 822.00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65 823.46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65 823.46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316 425.21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51 822.00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66 134.29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66 822.00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65 823.46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65 823.46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15.2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15.2 Обеспечения текущего содержания линий уличного освещения городского округа Люберцы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br/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набережных, площадей к концу 2022 года - до 100 %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29 726.00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165 907.60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30 445.00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33  865.65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33  865.65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33  865.65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33  865.65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29 726.00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165 907.60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30 445.00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33  865.65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33  865.65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33  865.65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33  865.65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15.3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15.3 Развитие сетей освещения городского округа Люберцы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Доля освещенных улиц, проездов, набережных, площадей с уровнем освещенности, соответствует установленным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3 000.00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6 344.00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6 344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3 000.00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6 344.00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6 344.00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15.4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15.4 Замена светильников наружного освещения улично-дорожной сети и для внутридомового освещения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энергосберегающие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2 500.00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16  Основное мероприятие «Комплексное благоустройство дворовых территорий»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Доля освещенных улиц, проездов,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25 460.00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25 460.00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25 460.00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25 460.00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16.1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16.1 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Увеличение уровня освещенности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25 460.00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25 460.00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25 460.00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25 460.00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17 Основное мероприятие «Модернизация и устройство систем наружного освещения городского округа Люберцы в целях приведения уровня освещенности до нормативных значений»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19 035.17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19 035.17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Увеличение количества объектов электросетевого хозяйства, систем наружного и архитектурно-художественного освещения, на которых реализованы  мероприятия по устройству и капитальному ремонту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br/>
              <w:t xml:space="preserve">Сокращение уровня износа электросетевого хозяйства систем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наружного освещения с применением СИП и высокоэффективных светильников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17 719.46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17 719.46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 xml:space="preserve">36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754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63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 xml:space="preserve">36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754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n-US"/>
              </w:rPr>
              <w:t>63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17.1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17.1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19 035.17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19 035.17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Увеличение уровня освещенности территории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12 219.46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12 219.46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31 254.63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31 254.63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17.2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Управление жилищно-коммунального хозяйства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Доведение до показателя "Светлый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город" к 2019 г. до 100 %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5 500.00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5 500.00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5 500.00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5 500.00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18 Основное мероприятие "Мероприятия по развитию и модернизации сетей освещения, проводимые за счет внебюджетных средств"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24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1 562.10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1 336.30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367.70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312.10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256.50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1 562.10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1 336.30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367.70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312.10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256.50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18.1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18.1  Замена светильников уличного освещения на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энергоэкономические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(светодиодные)</w:t>
            </w:r>
            <w:proofErr w:type="gramEnd"/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Сокращение уровня износа электросете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вого хозяйства систем наружного освещения с применением СИП и высокоэффективных светильников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527.60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456.80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123.20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105.60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88.00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527.60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456.80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123.20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105.60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88.00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18.2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18.2 Установка фотореле (приборов «день-ночь») на пунктах включения уличного и дворового освещения, подъездного освещения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Увеличение доли современных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светильников в общем количестве светильников наружного освещения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br/>
              <w:t xml:space="preserve">Сокращение уровня износа электросетевого хозяйства систем наружного освещения с применением СИП 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высокоэффективных светильников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127.50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127.50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25.00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18.3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18.3 Внедрение самонесущих изолированных проводов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907.00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774.50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214.50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181.50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148.50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115.00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115.00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907.00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774.50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214.50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181.50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148.50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115.00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115.00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19 Основное мероприятие "Обучение, участие в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конгресс-выставочных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Доля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ответственных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190.00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190.00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19.1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19.1 Обучение ответственных лиц в области энергосбережения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Доля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ответственных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сти к концу 2022 года до 35,35 %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190.00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190.00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150.00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19.2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19.2 Реализация организационных мероприятий по энергосбережению и повышению энергетической эффективности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Доля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ответственных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19.3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19.3 Информационно-разъяснительная и методическая работа по вопросам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энергосбережения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ответственных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за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185"/>
        </w:trPr>
        <w:tc>
          <w:tcPr>
            <w:tcW w:w="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19.4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19.4 Назначение ответственных за энергосбережение в учреждениях и организациях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01.01.2018 - 31.12.2022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Доля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ответственных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за энергосбережение и повышение энергетической эффективности,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4503BD" w:rsidTr="004503BD">
        <w:trPr>
          <w:trHeight w:val="1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7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 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Итого по программе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br/>
              <w:t>(подпрограмме)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03BD" w:rsidRDefault="004503BD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583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118,60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1 041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786</w:t>
            </w:r>
            <w:r>
              <w:rPr>
                <w:rFonts w:ascii="Times New Roman" w:hAnsi="Times New Roman"/>
                <w:sz w:val="16"/>
                <w:szCs w:val="16"/>
                <w:lang w:val="en-US" w:eastAsia="en-US"/>
              </w:rPr>
              <w:t>.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 w:eastAsia="en-US"/>
              </w:rPr>
              <w:t>275 123.13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196 099</w:t>
            </w:r>
            <w:r>
              <w:rPr>
                <w:rFonts w:ascii="Times New Roman" w:hAnsi="Times New Roman"/>
                <w:sz w:val="16"/>
                <w:szCs w:val="16"/>
                <w:lang w:val="en-US" w:eastAsia="en-US"/>
              </w:rPr>
              <w:t>.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 w:eastAsia="en-US"/>
              </w:rPr>
              <w:t>192 151.15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189 206,11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189 206,11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Средства Федерального бюджета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1050"/>
        </w:trPr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19 035.17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19 035.17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75 005.00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549 206.27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140 420,46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103 179.94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103 867.65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100 869.11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100 869,11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trHeight w:val="420"/>
        </w:trPr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Внебюджетные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источники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508 113.60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473 544,72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115 667,5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lastRenderedPageBreak/>
              <w:t>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lastRenderedPageBreak/>
              <w:t>92 919,72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88 283,50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88 337.00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BD" w:rsidRDefault="004503B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88 337.00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3BD" w:rsidRDefault="004503B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4503BD" w:rsidRDefault="004503BD" w:rsidP="004503BD">
      <w:pPr>
        <w:jc w:val="center"/>
        <w:rPr>
          <w:rFonts w:ascii="Times New Roman" w:hAnsi="Times New Roman"/>
        </w:r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06"/>
        <w:gridCol w:w="1854"/>
        <w:gridCol w:w="1506"/>
        <w:gridCol w:w="3396"/>
        <w:gridCol w:w="1256"/>
        <w:gridCol w:w="1161"/>
        <w:gridCol w:w="1213"/>
        <w:gridCol w:w="619"/>
        <w:gridCol w:w="474"/>
        <w:gridCol w:w="220"/>
        <w:gridCol w:w="220"/>
        <w:gridCol w:w="454"/>
        <w:gridCol w:w="437"/>
        <w:gridCol w:w="1553"/>
      </w:tblGrid>
      <w:tr w:rsidR="004503BD" w:rsidTr="004503BD">
        <w:trPr>
          <w:cantSplit/>
          <w:trHeight w:hRule="exact" w:val="1345"/>
        </w:trPr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 xml:space="preserve">    </w:t>
            </w:r>
          </w:p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Приложение № 2 к  Постановлению администрации городского округа Люберцы Московской области</w:t>
            </w:r>
          </w:p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от 14.03.2019 № 954-ПА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503BD" w:rsidTr="004503BD">
        <w:trPr>
          <w:cantSplit/>
          <w:trHeight w:val="824"/>
        </w:trPr>
        <w:tc>
          <w:tcPr>
            <w:tcW w:w="149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</w:p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US"/>
              </w:rPr>
              <w:t>Планируемые результаты реализации муниципальной программы «Энергосбережение и повышение энергетической эффективности в городском округе Люберцы Московской области»</w:t>
            </w:r>
          </w:p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4503BD" w:rsidTr="004503BD">
        <w:trPr>
          <w:cantSplit/>
          <w:trHeight w:val="116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Цели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Тип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2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4503BD" w:rsidTr="004503BD">
        <w:trPr>
          <w:cantSplit/>
          <w:trHeight w:hRule="exact"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BD" w:rsidRDefault="004503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4503BD" w:rsidTr="004503BD">
        <w:trPr>
          <w:cantSplit/>
          <w:trHeight w:hRule="exact" w:val="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13</w:t>
            </w:r>
          </w:p>
        </w:tc>
      </w:tr>
      <w:tr w:rsidR="004503BD" w:rsidTr="004503BD">
        <w:trPr>
          <w:cantSplit/>
          <w:trHeight w:hRule="exact" w:val="23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44,51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43,41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42,31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41,21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40,40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39,01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15, 18</w:t>
            </w:r>
          </w:p>
          <w:p w:rsidR="004503BD" w:rsidRDefault="004503BD">
            <w:pP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</w:p>
        </w:tc>
      </w:tr>
      <w:tr w:rsidR="004503BD" w:rsidTr="004503BD">
        <w:trPr>
          <w:cantSplit/>
          <w:trHeight w:hRule="exact" w:val="29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lastRenderedPageBreak/>
              <w:t>2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1,5</w:t>
            </w:r>
          </w:p>
        </w:tc>
      </w:tr>
      <w:tr w:rsidR="004503BD" w:rsidTr="004503BD">
        <w:trPr>
          <w:cantSplit/>
          <w:trHeight w:hRule="exact" w:val="24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82,30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86,60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96,70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6</w:t>
            </w:r>
          </w:p>
        </w:tc>
      </w:tr>
      <w:tr w:rsidR="004503BD" w:rsidTr="004503BD">
        <w:trPr>
          <w:cantSplit/>
          <w:trHeight w:hRule="exact" w:val="26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37,80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40,20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42,60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47,40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3, 4, 5</w:t>
            </w:r>
          </w:p>
        </w:tc>
      </w:tr>
      <w:tr w:rsidR="004503BD" w:rsidTr="004503BD">
        <w:trPr>
          <w:cantSplit/>
          <w:trHeight w:hRule="exact" w:val="26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lastRenderedPageBreak/>
              <w:t>5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освещения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2,00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2,00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17</w:t>
            </w:r>
          </w:p>
        </w:tc>
      </w:tr>
      <w:tr w:rsidR="004503BD" w:rsidTr="004503BD">
        <w:trPr>
          <w:cantSplit/>
          <w:trHeight w:hRule="exact" w:val="23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ответственных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 области энергосбережения и повышения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27,50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28,99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30,62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32,23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33,80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35,35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2, 19</w:t>
            </w:r>
          </w:p>
        </w:tc>
      </w:tr>
      <w:tr w:rsidR="004503BD" w:rsidTr="004503BD">
        <w:trPr>
          <w:cantSplit/>
          <w:trHeight w:hRule="exact" w:val="24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Количество многоквартирных домов, соответствующих нормальному классу энергетической эффективности и выше (А, B, C и 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104,00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127,00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150,00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173,00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174,00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6, 7, 8, 9</w:t>
            </w:r>
          </w:p>
        </w:tc>
      </w:tr>
      <w:tr w:rsidR="004503BD" w:rsidTr="004503BD">
        <w:trPr>
          <w:cantSplit/>
          <w:trHeight w:hRule="exact" w:val="2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lastRenderedPageBreak/>
              <w:t>8.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9,99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9,89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9,79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</w:t>
            </w:r>
          </w:p>
        </w:tc>
      </w:tr>
      <w:tr w:rsidR="004503BD" w:rsidTr="004503BD">
        <w:trPr>
          <w:cantSplit/>
          <w:trHeight w:hRule="exact" w:val="2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Доля потерь воды при ее передаче в общем объеме переданной воды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2,80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2,69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2,59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2,39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11</w:t>
            </w:r>
          </w:p>
        </w:tc>
      </w:tr>
      <w:tr w:rsidR="004503BD" w:rsidTr="004503BD">
        <w:trPr>
          <w:cantSplit/>
          <w:trHeight w:hRule="exact" w:val="25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Гигокалорию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12</w:t>
            </w:r>
          </w:p>
        </w:tc>
      </w:tr>
      <w:tr w:rsidR="004503BD" w:rsidTr="004503BD">
        <w:trPr>
          <w:cantSplit/>
          <w:trHeight w:hRule="exact" w:val="25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lastRenderedPageBreak/>
              <w:t>11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Киловатт-час/квадратный метр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0,74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0,73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0,73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11, 12, 13</w:t>
            </w:r>
          </w:p>
        </w:tc>
      </w:tr>
      <w:tr w:rsidR="004503BD" w:rsidTr="004503BD">
        <w:trPr>
          <w:cantSplit/>
          <w:trHeight w:hRule="exact" w:val="26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14</w:t>
            </w:r>
          </w:p>
        </w:tc>
      </w:tr>
      <w:tr w:rsidR="004503BD" w:rsidTr="004503BD">
        <w:trPr>
          <w:cantSplit/>
          <w:trHeight w:hRule="exact" w:val="3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98,20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99,10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15, 16, 17</w:t>
            </w:r>
          </w:p>
        </w:tc>
      </w:tr>
      <w:tr w:rsidR="004503BD" w:rsidTr="004503BD">
        <w:trPr>
          <w:cantSplit/>
          <w:trHeight w:hRule="exact" w:val="25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lastRenderedPageBreak/>
              <w:t>14</w:t>
            </w:r>
          </w:p>
          <w:p w:rsidR="004503BD" w:rsidRDefault="004503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15, 17, 18</w:t>
            </w:r>
          </w:p>
        </w:tc>
      </w:tr>
    </w:tbl>
    <w:p w:rsidR="004503BD" w:rsidRDefault="004503BD" w:rsidP="004503BD">
      <w:pPr>
        <w:rPr>
          <w:rFonts w:ascii="Times New Roman" w:eastAsia="Times New Roman" w:hAnsi="Times New Roman"/>
          <w:sz w:val="16"/>
          <w:szCs w:val="16"/>
        </w:rPr>
      </w:pPr>
    </w:p>
    <w:p w:rsidR="004503BD" w:rsidRDefault="004503BD" w:rsidP="004503BD">
      <w:pPr>
        <w:rPr>
          <w:rFonts w:ascii="Times New Roman" w:eastAsia="Times New Roman" w:hAnsi="Times New Roman"/>
          <w:sz w:val="16"/>
          <w:szCs w:val="16"/>
        </w:rPr>
      </w:pPr>
    </w:p>
    <w:p w:rsidR="004503BD" w:rsidRDefault="004503BD" w:rsidP="004503BD">
      <w:pPr>
        <w:rPr>
          <w:rFonts w:ascii="Times New Roman" w:eastAsia="Times New Roman" w:hAnsi="Times New Roman"/>
          <w:sz w:val="16"/>
          <w:szCs w:val="16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4503BD" w:rsidTr="004503BD">
        <w:trPr>
          <w:trHeight w:val="646"/>
        </w:trPr>
        <w:tc>
          <w:tcPr>
            <w:tcW w:w="10740" w:type="dxa"/>
          </w:tcPr>
          <w:p w:rsidR="004503BD" w:rsidRDefault="004503B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8" w:type="dxa"/>
            <w:hideMark/>
          </w:tcPr>
          <w:p w:rsidR="004503BD" w:rsidRDefault="004503B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3 к  Постановлению администрации городского округа Люберцы Московской области                     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14.03.2019 № 954-ПА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503BD" w:rsidTr="004503BD">
        <w:trPr>
          <w:trHeight w:val="80"/>
        </w:trPr>
        <w:tc>
          <w:tcPr>
            <w:tcW w:w="10740" w:type="dxa"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938" w:type="dxa"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4503BD" w:rsidTr="004503BD">
        <w:trPr>
          <w:trHeight w:val="646"/>
        </w:trPr>
        <w:tc>
          <w:tcPr>
            <w:tcW w:w="14678" w:type="dxa"/>
            <w:gridSpan w:val="2"/>
            <w:hideMark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расчета значений показателей муниципальной программы «Энергосбережение и повышение энергетической эффективности в городском округе Люберцы Московской области</w:t>
            </w:r>
          </w:p>
        </w:tc>
      </w:tr>
      <w:tr w:rsidR="004503BD" w:rsidTr="004503BD">
        <w:trPr>
          <w:trHeight w:val="646"/>
        </w:trPr>
        <w:tc>
          <w:tcPr>
            <w:tcW w:w="10740" w:type="dxa"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938" w:type="dxa"/>
          </w:tcPr>
          <w:p w:rsidR="004503BD" w:rsidRDefault="004503B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4503BD" w:rsidRDefault="004503BD" w:rsidP="004503BD">
      <w:pPr>
        <w:spacing w:after="0"/>
        <w:rPr>
          <w:rFonts w:ascii="Times New Roman" w:eastAsia="Times New Roman" w:hAnsi="Times New Roman"/>
          <w:vanish/>
          <w:sz w:val="20"/>
          <w:szCs w:val="20"/>
        </w:rPr>
      </w:pPr>
    </w:p>
    <w:tbl>
      <w:tblPr>
        <w:tblW w:w="1545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1276"/>
        <w:gridCol w:w="3543"/>
        <w:gridCol w:w="7226"/>
      </w:tblGrid>
      <w:tr w:rsidR="004503BD" w:rsidTr="004503BD">
        <w:trPr>
          <w:trHeight w:val="99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Источник данных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Порядок расчета показателя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1. 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Отчет в «ГИС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Энрегоэффективность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2. Бережливый учет  - Оснащенность многоквартирных домов приборами учета ресурсов,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Отчет 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в ГАС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 «Управление» - «Приборы учета МКД и ЖД»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= (К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/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мкд.хвс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+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пу.гвс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/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мкд.гвс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+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пу.ээ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/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мкд.ээ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 /4 х 100%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= доля многоквартирных домов, оснащенных общедомовыми (коллективными) приборами учета, процент;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мкд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мкд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единица;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.э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3. 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ГИС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Энергоэффективность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4. Сокращение уровня износа электросетевого хозяйства систем наружного освещения с применением СИП и высокоэффективных светильников,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Акты выполненных работ по прокладке самонесущего провода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Значение показателя определяется по формуле: 100-(ПСИП/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ОплНО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)*100, где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ПСИП - протяженность самонесущего изолированного провода,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км</w:t>
            </w:r>
            <w:proofErr w:type="gramEnd"/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ОплНО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- общая протяженность линий наружного освещения,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км</w:t>
            </w:r>
            <w:proofErr w:type="gramEnd"/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5. Количество объектов электросетевого хозяйства, систем наружного и архитектурно-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художественного освещения на которых реализованы мероприятия по устройству и капитальному ремонту, (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lastRenderedPageBreak/>
              <w:t>е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Акты выполненных работ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6. Доля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ответственных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за энергосбережение повышение энергетической  эффективности, прошедших обучение по образовательным программам в области энергосбережения и повышения энергетической эффективности,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Информация о лицах, прошедших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 образовательным программам в области энергосбережения и повышения энергетической эффективности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образовательным программам в области энергосбережения и повышения энергетической эффективности к общему количеству человек   ответственных за энергосбережение повышение энергетической эффективности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7. 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Информация об общей 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Акты выполненных работ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Значение показателя определяется по формуле: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 Д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осв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=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осв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/П общ *100, где: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Д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осв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осв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общ – общая протяженность улиц, проездов, набережных в городском округе, км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8. Количество многоквартирных домов, соответствующих нормальному классу энергетической эффективности и выше (А, B, C и D),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АИС ГЖИ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Значение показателя рассчитывается по факту присвоения класса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энергоэффективности</w:t>
            </w:r>
            <w:proofErr w:type="spellEnd"/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9. 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Дтэ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 определяется по формуле: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Дтэ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=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Отэ.потери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ОПсубъект.тэ.общий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 ∙ 100 (%),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где: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Отэ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ОПсубъек.тэ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4503BD" w:rsidTr="004503BD">
        <w:trPr>
          <w:trHeight w:val="282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10. Доля потерь воды при ее передаче в общем объеме переданной воды, 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Форма статистической отчетности             «1-водопровод»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Доля потерь воды при ее передаче в общем объеме переданной воды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Двс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 определяется по формуле: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Двс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=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ОПвс.передача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/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ОПсубъект.гвс.общий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ОПсубъект.хвс.общий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ОПвс.передача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)) ∙ 100) (%),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где: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ОПвс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ередача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ОПсубъект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вс.общий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ОПсубъект.xвс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- общий объем потребления (использования) на территории субъекта Российской Федерации холодной воды, тыс. куб. м.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11. Удельный расход электрической энергии, используемой при передаче тепловой энергии в системах теплоснабжения, киловатт в час на 1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гигокалорию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гигокалорию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Удельный расход электрической энергии, используемой при передаче тепловой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энергии в системах теплоснабжения (</w:t>
            </w:r>
            <w:proofErr w:type="gramEnd"/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Уээ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ередача.тэ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), определяется по формуле: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У = ОП / ОТ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ередача.тэ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ээ.передача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тн</w:t>
            </w:r>
            <w:proofErr w:type="spellEnd"/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кВт·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/куб. м),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где: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ОПээ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ередача.тэ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- объем потребления электрической энергии для передачи тепловой энергии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в системах теплоснабжения на территории субъекта Российской Федерации, тыс.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кВт·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ОТтн</w:t>
            </w:r>
            <w:proofErr w:type="spellEnd"/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- объем транспортировки теплоносителя в системе теплоснабжения на территории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субъекта Российской Федерации, тыс. куб. м.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12 Удельный расход электрической энергии, используемой для передачи (транспортировки) воды в системах водоснабжения (на 1 куб. метр), киловатт-час/квадратный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киловатт-час/квадратный метр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Форма статистической отчетности             «1-водопровод»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Удельный расход электрической энергии, используемой для передачи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(транспортировки) воды в системах водоснабжения (на 1 куб. метр)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 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Уээ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ередача.вс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), определяется по формуле: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Уээ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ередача.вс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. =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ОПээ.передача.вс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/ ОП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субъект.гвс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. общий +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ОПсубъект.хвс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. общий +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ОПвс.передача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тыс.кВт·ч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/куб. м),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где: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ОПээ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ередача.вс</w:t>
            </w:r>
            <w:proofErr w:type="spellEnd"/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- объем потребления электрической энергии для передачи воды в системах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 xml:space="preserve">водоснабжения на территории субъекта Российской Федерации, тыс.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кВт·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ОПвс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ередача</w:t>
            </w:r>
            <w:proofErr w:type="spellEnd"/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- объем потерь воды при ее передаче на территории субъекта Российской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Федерации, куб. м;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ОПсубъект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вс.общий</w:t>
            </w:r>
            <w:proofErr w:type="spellEnd"/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- общий объем потребления (использования) на территории субъекта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Российской Федерации горячей воды, куб. м;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ОПсубъект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вс.общий</w:t>
            </w:r>
            <w:proofErr w:type="spellEnd"/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- общий объем потребления (использования) на территории субъекта</w:t>
            </w:r>
          </w:p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Российской Федерации холодной воды, куб. м.</w:t>
            </w:r>
          </w:p>
        </w:tc>
      </w:tr>
      <w:tr w:rsidR="004503BD" w:rsidTr="004503BD">
        <w:trPr>
          <w:trHeight w:val="353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13.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Значение показателя определяется по факту</w:t>
            </w:r>
          </w:p>
        </w:tc>
      </w:tr>
      <w:tr w:rsidR="004503BD" w:rsidTr="004503BD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14. 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Отчет 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>в ГАС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 «Управление», информация о наличии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3BD" w:rsidRDefault="004503B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</w:tbl>
    <w:p w:rsidR="004503BD" w:rsidRDefault="004503BD" w:rsidP="004503B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Times New Roman" w:hAnsi="Times New Roman"/>
          <w:sz w:val="20"/>
          <w:szCs w:val="20"/>
        </w:rPr>
      </w:pPr>
    </w:p>
    <w:p w:rsidR="00273B11" w:rsidRDefault="00273B11"/>
    <w:sectPr w:rsidR="00273B11" w:rsidSect="004503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/>
      </w:rPr>
    </w:lvl>
  </w:abstractNum>
  <w:abstractNum w:abstractNumId="3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11"/>
    <w:rsid w:val="00273B11"/>
    <w:rsid w:val="0045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3B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3BD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03BD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4503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503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503BD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503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503BD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4503BD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4503BD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4503BD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4503BD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450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503BD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450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4503BD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4503BD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4503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4503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4503BD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4503BD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4503BD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4503BD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4503BD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4503BD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4503B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4503B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4503B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4503B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4503B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4503BD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4503B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4503B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4503BD"/>
    <w:rPr>
      <w:rFonts w:ascii="Times New Roman" w:hAnsi="Times New Roman" w:cs="Times New Roman" w:hint="default"/>
    </w:rPr>
  </w:style>
  <w:style w:type="character" w:customStyle="1" w:styleId="ListLabel1">
    <w:name w:val="ListLabel 1"/>
    <w:rsid w:val="004503BD"/>
  </w:style>
  <w:style w:type="character" w:customStyle="1" w:styleId="ListLabel2">
    <w:name w:val="ListLabel 2"/>
    <w:rsid w:val="004503BD"/>
  </w:style>
  <w:style w:type="character" w:customStyle="1" w:styleId="ListLabel3">
    <w:name w:val="ListLabel 3"/>
    <w:rsid w:val="004503BD"/>
  </w:style>
  <w:style w:type="character" w:customStyle="1" w:styleId="ListLabel4">
    <w:name w:val="ListLabel 4"/>
    <w:rsid w:val="004503BD"/>
  </w:style>
  <w:style w:type="character" w:customStyle="1" w:styleId="ListLabel5">
    <w:name w:val="ListLabel 5"/>
    <w:rsid w:val="004503BD"/>
  </w:style>
  <w:style w:type="character" w:customStyle="1" w:styleId="ListLabel6">
    <w:name w:val="ListLabel 6"/>
    <w:rsid w:val="004503BD"/>
  </w:style>
  <w:style w:type="character" w:customStyle="1" w:styleId="ListLabel7">
    <w:name w:val="ListLabel 7"/>
    <w:rsid w:val="004503BD"/>
  </w:style>
  <w:style w:type="character" w:customStyle="1" w:styleId="ListLabel8">
    <w:name w:val="ListLabel 8"/>
    <w:rsid w:val="004503BD"/>
  </w:style>
  <w:style w:type="character" w:customStyle="1" w:styleId="ListLabel9">
    <w:name w:val="ListLabel 9"/>
    <w:rsid w:val="004503BD"/>
  </w:style>
  <w:style w:type="character" w:customStyle="1" w:styleId="ListLabel10">
    <w:name w:val="ListLabel 10"/>
    <w:rsid w:val="004503BD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4503BD"/>
  </w:style>
  <w:style w:type="character" w:customStyle="1" w:styleId="ListLabel12">
    <w:name w:val="ListLabel 12"/>
    <w:rsid w:val="004503BD"/>
  </w:style>
  <w:style w:type="character" w:customStyle="1" w:styleId="ListLabel13">
    <w:name w:val="ListLabel 13"/>
    <w:rsid w:val="004503BD"/>
  </w:style>
  <w:style w:type="character" w:customStyle="1" w:styleId="ListLabel14">
    <w:name w:val="ListLabel 14"/>
    <w:rsid w:val="004503BD"/>
  </w:style>
  <w:style w:type="character" w:customStyle="1" w:styleId="ListLabel15">
    <w:name w:val="ListLabel 15"/>
    <w:rsid w:val="004503BD"/>
  </w:style>
  <w:style w:type="character" w:customStyle="1" w:styleId="ListLabel16">
    <w:name w:val="ListLabel 16"/>
    <w:rsid w:val="004503BD"/>
  </w:style>
  <w:style w:type="character" w:customStyle="1" w:styleId="ListLabel17">
    <w:name w:val="ListLabel 17"/>
    <w:rsid w:val="004503BD"/>
  </w:style>
  <w:style w:type="character" w:customStyle="1" w:styleId="ListLabel18">
    <w:name w:val="ListLabel 18"/>
    <w:rsid w:val="004503BD"/>
  </w:style>
  <w:style w:type="character" w:customStyle="1" w:styleId="ListLabel19">
    <w:name w:val="ListLabel 19"/>
    <w:rsid w:val="004503BD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4503BD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4503BD"/>
  </w:style>
  <w:style w:type="character" w:customStyle="1" w:styleId="ListLabel22">
    <w:name w:val="ListLabel 22"/>
    <w:rsid w:val="004503BD"/>
  </w:style>
  <w:style w:type="character" w:customStyle="1" w:styleId="ListLabel23">
    <w:name w:val="ListLabel 23"/>
    <w:rsid w:val="004503BD"/>
  </w:style>
  <w:style w:type="character" w:customStyle="1" w:styleId="ListLabel24">
    <w:name w:val="ListLabel 24"/>
    <w:rsid w:val="004503BD"/>
  </w:style>
  <w:style w:type="character" w:customStyle="1" w:styleId="ListLabel25">
    <w:name w:val="ListLabel 25"/>
    <w:rsid w:val="004503BD"/>
  </w:style>
  <w:style w:type="character" w:customStyle="1" w:styleId="ListLabel26">
    <w:name w:val="ListLabel 26"/>
    <w:rsid w:val="004503BD"/>
  </w:style>
  <w:style w:type="character" w:customStyle="1" w:styleId="ListLabel27">
    <w:name w:val="ListLabel 27"/>
    <w:rsid w:val="004503BD"/>
  </w:style>
  <w:style w:type="table" w:styleId="af4">
    <w:name w:val="Table Grid"/>
    <w:basedOn w:val="a1"/>
    <w:uiPriority w:val="59"/>
    <w:rsid w:val="004503BD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4503BD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3B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3BD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03BD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4503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503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503BD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503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503BD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4503BD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4503BD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4503BD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4503BD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450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503BD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450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4503BD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4503BD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4503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4503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4503BD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4503BD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450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4503BD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4503BD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4503BD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4503BD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4503B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4503B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4503B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4503B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4503BD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4503B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4503B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4503BD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4503B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4503B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4503BD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4503BD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4503BD"/>
    <w:rPr>
      <w:rFonts w:ascii="Times New Roman" w:hAnsi="Times New Roman" w:cs="Times New Roman" w:hint="default"/>
    </w:rPr>
  </w:style>
  <w:style w:type="character" w:customStyle="1" w:styleId="ListLabel1">
    <w:name w:val="ListLabel 1"/>
    <w:rsid w:val="004503BD"/>
  </w:style>
  <w:style w:type="character" w:customStyle="1" w:styleId="ListLabel2">
    <w:name w:val="ListLabel 2"/>
    <w:rsid w:val="004503BD"/>
  </w:style>
  <w:style w:type="character" w:customStyle="1" w:styleId="ListLabel3">
    <w:name w:val="ListLabel 3"/>
    <w:rsid w:val="004503BD"/>
  </w:style>
  <w:style w:type="character" w:customStyle="1" w:styleId="ListLabel4">
    <w:name w:val="ListLabel 4"/>
    <w:rsid w:val="004503BD"/>
  </w:style>
  <w:style w:type="character" w:customStyle="1" w:styleId="ListLabel5">
    <w:name w:val="ListLabel 5"/>
    <w:rsid w:val="004503BD"/>
  </w:style>
  <w:style w:type="character" w:customStyle="1" w:styleId="ListLabel6">
    <w:name w:val="ListLabel 6"/>
    <w:rsid w:val="004503BD"/>
  </w:style>
  <w:style w:type="character" w:customStyle="1" w:styleId="ListLabel7">
    <w:name w:val="ListLabel 7"/>
    <w:rsid w:val="004503BD"/>
  </w:style>
  <w:style w:type="character" w:customStyle="1" w:styleId="ListLabel8">
    <w:name w:val="ListLabel 8"/>
    <w:rsid w:val="004503BD"/>
  </w:style>
  <w:style w:type="character" w:customStyle="1" w:styleId="ListLabel9">
    <w:name w:val="ListLabel 9"/>
    <w:rsid w:val="004503BD"/>
  </w:style>
  <w:style w:type="character" w:customStyle="1" w:styleId="ListLabel10">
    <w:name w:val="ListLabel 10"/>
    <w:rsid w:val="004503BD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4503BD"/>
  </w:style>
  <w:style w:type="character" w:customStyle="1" w:styleId="ListLabel12">
    <w:name w:val="ListLabel 12"/>
    <w:rsid w:val="004503BD"/>
  </w:style>
  <w:style w:type="character" w:customStyle="1" w:styleId="ListLabel13">
    <w:name w:val="ListLabel 13"/>
    <w:rsid w:val="004503BD"/>
  </w:style>
  <w:style w:type="character" w:customStyle="1" w:styleId="ListLabel14">
    <w:name w:val="ListLabel 14"/>
    <w:rsid w:val="004503BD"/>
  </w:style>
  <w:style w:type="character" w:customStyle="1" w:styleId="ListLabel15">
    <w:name w:val="ListLabel 15"/>
    <w:rsid w:val="004503BD"/>
  </w:style>
  <w:style w:type="character" w:customStyle="1" w:styleId="ListLabel16">
    <w:name w:val="ListLabel 16"/>
    <w:rsid w:val="004503BD"/>
  </w:style>
  <w:style w:type="character" w:customStyle="1" w:styleId="ListLabel17">
    <w:name w:val="ListLabel 17"/>
    <w:rsid w:val="004503BD"/>
  </w:style>
  <w:style w:type="character" w:customStyle="1" w:styleId="ListLabel18">
    <w:name w:val="ListLabel 18"/>
    <w:rsid w:val="004503BD"/>
  </w:style>
  <w:style w:type="character" w:customStyle="1" w:styleId="ListLabel19">
    <w:name w:val="ListLabel 19"/>
    <w:rsid w:val="004503BD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4503BD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4503BD"/>
  </w:style>
  <w:style w:type="character" w:customStyle="1" w:styleId="ListLabel22">
    <w:name w:val="ListLabel 22"/>
    <w:rsid w:val="004503BD"/>
  </w:style>
  <w:style w:type="character" w:customStyle="1" w:styleId="ListLabel23">
    <w:name w:val="ListLabel 23"/>
    <w:rsid w:val="004503BD"/>
  </w:style>
  <w:style w:type="character" w:customStyle="1" w:styleId="ListLabel24">
    <w:name w:val="ListLabel 24"/>
    <w:rsid w:val="004503BD"/>
  </w:style>
  <w:style w:type="character" w:customStyle="1" w:styleId="ListLabel25">
    <w:name w:val="ListLabel 25"/>
    <w:rsid w:val="004503BD"/>
  </w:style>
  <w:style w:type="character" w:customStyle="1" w:styleId="ListLabel26">
    <w:name w:val="ListLabel 26"/>
    <w:rsid w:val="004503BD"/>
  </w:style>
  <w:style w:type="character" w:customStyle="1" w:styleId="ListLabel27">
    <w:name w:val="ListLabel 27"/>
    <w:rsid w:val="004503BD"/>
  </w:style>
  <w:style w:type="table" w:styleId="af4">
    <w:name w:val="Table Grid"/>
    <w:basedOn w:val="a1"/>
    <w:uiPriority w:val="59"/>
    <w:rsid w:val="004503BD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4503BD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10718</Words>
  <Characters>61096</Characters>
  <Application>Microsoft Office Word</Application>
  <DocSecurity>0</DocSecurity>
  <Lines>509</Lines>
  <Paragraphs>143</Paragraphs>
  <ScaleCrop>false</ScaleCrop>
  <Company/>
  <LinksUpToDate>false</LinksUpToDate>
  <CharactersWithSpaces>71671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2019-04-03T07:34:00Z</dcterms:created>
  <dcterms:modified xsi:type="dcterms:W3CDTF">2019-04-03T07:36:00Z</dcterms:modified>
</cp:coreProperties>
</file>